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eacherLogEyebrow"/>
      </w:pPr>
      <w:r>
        <w:rPr>
          <w:rFonts w:ascii="DejaVu Sans" w:hAnsi="DejaVu Sans" w:eastAsia="DejaVu Sans" w:cs="DejaVu Sans"/>
        </w:rPr>
        <w:t>THE BUILDING BLOCKS OF LANGUAGE</w:t>
      </w:r>
    </w:p>
    <w:p>
      <w:pPr>
        <w:pStyle w:val="Title"/>
      </w:pPr>
      <w:r>
        <w:rPr>
          <w:rFonts w:ascii="DejaVu Serif" w:hAnsi="DejaVu Serif" w:eastAsia="DejaVu Serif" w:cs="DejaVu Serif"/>
        </w:rPr>
        <w:t>TEACHER’S LOG</w:t>
      </w:r>
    </w:p>
    <w:p>
      <w:pPr>
        <w:pStyle w:val="Subtitle"/>
      </w:pPr>
      <w:r>
        <w:rPr>
          <w:rFonts w:ascii="DejaVu Sans" w:hAnsi="DejaVu Sans" w:eastAsia="DejaVu Sans" w:cs="DejaVu Sans"/>
        </w:rPr>
        <w:t>A Reference for Your Journal</w:t>
      </w:r>
    </w:p>
    <w:p>
      <w:pPr>
        <w:pStyle w:val="TeacherLogIntroduction"/>
      </w:pPr>
      <w:r>
        <w:rPr>
          <w:rFonts w:ascii="DejaVu Sans" w:hAnsi="DejaVu Sans" w:eastAsia="DejaVu Sans" w:cs="DejaVu Sans"/>
        </w:rPr>
        <w:t>This log is part of The Building Blocks of Language teacher scaffolding.</w:t>
      </w:r>
    </w:p>
    <w:p>
      <w:pPr>
        <w:pStyle w:val="TeacherLogIntroduction"/>
      </w:pPr>
      <w:r>
        <w:rPr>
          <w:rFonts w:ascii="DejaVu Sans" w:hAnsi="DejaVu Sans" w:eastAsia="DejaVu Sans" w:cs="DejaVu Sans"/>
        </w:rPr>
        <w:t>Before we ask students to learn a process, the teacher needs a chance to understand and use that process too.</w:t>
      </w:r>
    </w:p>
    <w:p>
      <w:pPr>
        <w:pStyle w:val="TeacherLogIntroduction"/>
      </w:pPr>
      <w:r>
        <w:rPr>
          <w:rFonts w:ascii="DejaVu Sans" w:hAnsi="DejaVu Sans" w:eastAsia="DejaVu Sans" w:cs="DejaVu Sans"/>
        </w:rPr>
        <w:t>Your students learn to look at a word from several directions, break it apart, find useful handles, and put it back together with more understanding.</w:t>
      </w:r>
    </w:p>
    <w:p>
      <w:pPr>
        <w:pStyle w:val="TeacherLogIntroduction"/>
      </w:pPr>
      <w:r>
        <w:rPr>
          <w:rFonts w:ascii="DejaVu Sans" w:hAnsi="DejaVu Sans" w:eastAsia="DejaVu Sans" w:cs="DejaVu Sans"/>
        </w:rPr>
        <w:t>You can do the same thing with your teaching.</w:t>
      </w:r>
    </w:p>
    <w:p>
      <w:pPr>
        <w:pStyle w:val="TeacherLogAnchor"/>
        <w:shd w:val="clear" w:color="auto" w:fill="E9ECE2"/>
      </w:pPr>
      <w:r>
        <w:rPr>
          <w:rFonts w:ascii="DejaVu Serif" w:hAnsi="DejaVu Serif" w:eastAsia="DejaVu Serif" w:cs="DejaVu Serif"/>
        </w:rPr>
        <w:t>The child dismantles the word. The teacher dismantles the day.</w:t>
      </w:r>
    </w:p>
    <w:p>
      <w:pPr>
        <w:sectPr>
          <w:pgSz w:w="12240" w:h="15840"/>
          <w:pgMar w:top="605" w:right="662" w:bottom="576" w:left="662" w:header="259" w:footer="259" w:gutter="0"/>
          <w:cols w:space="720"/>
          <w:docGrid w:linePitch="360"/>
        </w:sectPr>
      </w:pPr>
    </w:p>
    <w:p>
      <w:pPr>
        <w:pStyle w:val="Heading2"/>
        <w:spacing w:before="0"/>
      </w:pPr>
      <w:r>
        <w:rPr>
          <w:rFonts w:ascii="DejaVu Sans" w:hAnsi="DejaVu Sans" w:eastAsia="DejaVu Sans" w:cs="DejaVu Sans"/>
        </w:rPr>
        <w:t>START WITH THE WHOLE</w:t>
      </w:r>
    </w:p>
    <w:p>
      <w:pPr/>
      <w:r>
        <w:rPr>
          <w:rFonts w:ascii="DejaVu Sans" w:hAnsi="DejaVu Sans" w:eastAsia="DejaVu Sans" w:cs="DejaVu Sans"/>
        </w:rPr>
        <w:t>Begin with one question:</w:t>
      </w:r>
    </w:p>
    <w:p>
      <w:pPr>
        <w:pStyle w:val="TeacherLogCallout"/>
      </w:pPr>
      <w:r>
        <w:rPr>
          <w:rFonts w:ascii="DejaVu Sans" w:hAnsi="DejaVu Sans" w:eastAsia="DejaVu Sans" w:cs="DejaVu Sans"/>
        </w:rPr>
        <w:t>How did today go?</w:t>
      </w:r>
    </w:p>
    <w:p>
      <w:pPr/>
      <w:r>
        <w:rPr>
          <w:rFonts w:ascii="DejaVu Sans" w:hAnsi="DejaVu Sans" w:eastAsia="DejaVu Sans" w:cs="DejaVu Sans"/>
        </w:rPr>
        <w:t>That may be enough.</w:t>
      </w:r>
    </w:p>
    <w:p>
      <w:pPr/>
      <w:r>
        <w:rPr>
          <w:rFonts w:ascii="DejaVu Sans" w:hAnsi="DejaVu Sans" w:eastAsia="DejaVu Sans" w:cs="DejaVu Sans"/>
        </w:rPr>
        <w:t>If something deserves a closer look, pull the day apart only as far as it is useful.</w:t>
      </w:r>
    </w:p>
    <w:p>
      <w:pPr/>
      <w:r>
        <w:rPr>
          <w:rFonts w:ascii="DejaVu Sans" w:hAnsi="DejaVu Sans" w:eastAsia="DejaVu Sans" w:cs="DejaVu Sans"/>
        </w:rPr>
        <w:t>You are not trying to extract everything.</w:t>
      </w:r>
    </w:p>
    <w:p>
      <w:pPr/>
      <w:r>
        <w:rPr>
          <w:rFonts w:ascii="DejaVu Sans" w:hAnsi="DejaVu Sans" w:eastAsia="DejaVu Sans" w:cs="DejaVu Sans"/>
        </w:rPr>
        <w:t>You are trying to notice what matters.</w:t>
      </w:r>
    </w:p>
    <w:p>
      <w:pPr>
        <w:pStyle w:val="Heading2"/>
      </w:pPr>
      <w:r>
        <w:rPr>
          <w:rFonts w:ascii="DejaVu Sans" w:hAnsi="DejaVu Sans" w:eastAsia="DejaVu Sans" w:cs="DejaVu Sans"/>
        </w:rPr>
        <w:t>LOOK FROM DIFFERENT ANGLES</w:t>
      </w:r>
    </w:p>
    <w:p>
      <w:pPr/>
      <w:r>
        <w:rPr>
          <w:rFonts w:ascii="DejaVu Sans" w:hAnsi="DejaVu Sans" w:eastAsia="DejaVu Sans" w:cs="DejaVu Sans"/>
        </w:rPr>
        <w:t>Use any question that helps.</w:t>
      </w:r>
    </w:p>
    <w:p>
      <w:pPr/>
      <w:r>
        <w:rPr>
          <w:rFonts w:ascii="DejaVu Sans" w:hAnsi="DejaVu Sans" w:eastAsia="DejaVu Sans" w:cs="DejaVu Sans"/>
        </w:rPr>
        <w:t>Leave the others alone.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What worked?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What was the hardest part of the day? Why?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What felt awkward?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What became fun?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What surprised me?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Was there a moment—or a student moment—I want to remember?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Where did I feel confident?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What did I understand better by the end of the day?</w:t>
      </w:r>
    </w:p>
    <w:p>
      <w:pPr/>
      <w:r>
        <w:rPr>
          <w:rFonts w:ascii="DejaVu Sans" w:hAnsi="DejaVu Sans" w:eastAsia="DejaVu Sans" w:cs="DejaVu Sans"/>
        </w:rPr>
        <w:t>A successful moment is worth recording too.</w:t>
      </w:r>
    </w:p>
    <w:p>
      <w:pPr/>
      <w:r>
        <w:rPr>
          <w:rFonts w:ascii="DejaVu Sans" w:hAnsi="DejaVu Sans" w:eastAsia="DejaVu Sans" w:cs="DejaVu Sans"/>
        </w:rPr>
        <w:t>Sometimes the useful note is simply:</w:t>
      </w:r>
    </w:p>
    <w:p>
      <w:pPr>
        <w:pStyle w:val="TeacherLogCallout"/>
      </w:pPr>
      <w:r>
        <w:rPr>
          <w:rFonts w:ascii="DejaVu Sans" w:hAnsi="DejaVu Sans" w:eastAsia="DejaVu Sans" w:cs="DejaVu Sans"/>
        </w:rPr>
        <w:t>That worked. Keep it.</w:t>
      </w:r>
    </w:p>
    <w:p>
      <w:pPr>
        <w:pStyle w:val="Heading2"/>
      </w:pPr>
      <w:r>
        <w:rPr>
          <w:rFonts w:ascii="DejaVu Sans" w:hAnsi="DejaVu Sans" w:eastAsia="DejaVu Sans" w:cs="DejaVu Sans"/>
        </w:rPr>
        <w:t>TAKE THE LESSON APART</w:t>
      </w:r>
    </w:p>
    <w:p>
      <w:pPr/>
      <w:r>
        <w:rPr>
          <w:rFonts w:ascii="DejaVu Sans" w:hAnsi="DejaVu Sans" w:eastAsia="DejaVu Sans" w:cs="DejaVu Sans"/>
        </w:rPr>
        <w:t>Lessons change when they meet a real classroom.</w:t>
      </w:r>
    </w:p>
    <w:p>
      <w:pPr/>
      <w:r>
        <w:rPr>
          <w:rFonts w:ascii="DejaVu Sans" w:hAnsi="DejaVu Sans" w:eastAsia="DejaVu Sans" w:cs="DejaVu Sans"/>
        </w:rPr>
        <w:t>Notice that.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Did the lesson become something I did not expect?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Did the students or I adapt something in a useful way?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What changed?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What did the change preserve?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Has any other lesson adapted into this lesson?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Did something from this lesson show up somewhere else today?</w:t>
      </w:r>
    </w:p>
    <w:p>
      <w:pPr>
        <w:pStyle w:val="TeacherLogCallout"/>
      </w:pPr>
      <w:r>
        <w:rPr>
          <w:rFonts w:ascii="DejaVu Sans" w:hAnsi="DejaVu Sans" w:eastAsia="DejaVu Sans" w:cs="DejaVu Sans"/>
        </w:rPr>
        <w:t>CHANGE THE FORM IF NEEDED. PRESERVE THE FUNCTION.</w:t>
      </w:r>
    </w:p>
    <w:p>
      <w:pPr/>
      <w:r>
        <w:rPr>
          <w:rFonts w:ascii="DejaVu Sans" w:hAnsi="DejaVu Sans" w:eastAsia="DejaVu Sans" w:cs="DejaVu Sans"/>
        </w:rPr>
        <w:t>The classroom is allowed to teach you something about the lesson.</w:t>
      </w:r>
    </w:p>
    <w:p>
      <w:pPr/>
      <w:r>
        <w:rPr>
          <w:rFonts w:ascii="DejaVu Sans" w:hAnsi="DejaVu Sans" w:eastAsia="DejaVu Sans" w:cs="DejaVu Sans"/>
        </w:rPr>
        <w:t>Reality talks back to the curriculum here.</w:t>
      </w:r>
    </w:p>
    <w:p>
      <w:pPr>
        <w:pStyle w:val="Heading2"/>
      </w:pPr>
      <w:r>
        <w:rPr>
          <w:rFonts w:ascii="DejaVu Sans" w:hAnsi="DejaVu Sans" w:eastAsia="DejaVu Sans" w:cs="DejaVu Sans"/>
        </w:rPr>
        <w:t>CARRY SOMETHING FORWARD</w:t>
      </w:r>
    </w:p>
    <w:p>
      <w:pPr/>
      <w:r>
        <w:rPr>
          <w:rFonts w:ascii="DejaVu Sans" w:hAnsi="DejaVu Sans" w:eastAsia="DejaVu Sans" w:cs="DejaVu Sans"/>
        </w:rPr>
        <w:t>Reflection does not require a solution.</w:t>
      </w:r>
    </w:p>
    <w:p>
      <w:pPr/>
      <w:r>
        <w:rPr>
          <w:rFonts w:ascii="DejaVu Sans" w:hAnsi="DejaVu Sans" w:eastAsia="DejaVu Sans" w:cs="DejaVu Sans"/>
        </w:rPr>
        <w:t>Sometimes naming something clearly is enough.</w:t>
      </w:r>
    </w:p>
    <w:p>
      <w:pPr/>
      <w:r>
        <w:rPr>
          <w:rFonts w:ascii="DejaVu Sans" w:hAnsi="DejaVu Sans" w:eastAsia="DejaVu Sans" w:cs="DejaVu Sans"/>
        </w:rPr>
        <w:t>When there is something worth carrying forward, ask: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What do I want to KEEP?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What might I CHANGE?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What would I like to TRY AGAIN?</w:t>
      </w:r>
    </w:p>
    <w:p>
      <w:pPr/>
      <w:r>
        <w:rPr>
          <w:rFonts w:ascii="DejaVu Sans" w:hAnsi="DejaVu Sans" w:eastAsia="DejaVu Sans" w:cs="DejaVu Sans"/>
        </w:rPr>
        <w:t>One useful thought is enough.</w:t>
      </w:r>
    </w:p>
    <w:p>
      <w:pPr>
        <w:spacing w:before="0" w:after="0" w:line="24" w:lineRule="auto"/>
      </w:pPr>
      <w:r>
        <w:br w:type="column"/>
      </w:r>
    </w:p>
    <w:p>
      <w:pPr>
        <w:pStyle w:val="Heading2"/>
        <w:spacing w:before="0"/>
      </w:pPr>
      <w:r>
        <w:rPr>
          <w:rFonts w:ascii="DejaVu Sans" w:hAnsi="DejaVu Sans" w:eastAsia="DejaVu Sans" w:cs="DejaVu Sans"/>
        </w:rPr>
        <w:t>WATCH THE ROUTINE GROW</w:t>
      </w:r>
    </w:p>
    <w:p>
      <w:pPr/>
      <w:r>
        <w:rPr>
          <w:rFonts w:ascii="DejaVu Sans" w:hAnsi="DejaVu Sans" w:eastAsia="DejaVu Sans" w:cs="DejaVu Sans"/>
        </w:rPr>
        <w:t>Over time you may begin to notice:</w:t>
      </w:r>
    </w:p>
    <w:p>
      <w:pPr>
        <w:pStyle w:val="TeacherLogCallout"/>
        <w:jc w:val="center"/>
        <w:shd w:val="clear" w:color="auto" w:fill="E9ECE2"/>
      </w:pPr>
      <w:r>
        <w:rPr>
          <w:rFonts w:ascii="DejaVu Sans" w:hAnsi="DejaVu Sans" w:eastAsia="DejaVu Sans" w:cs="DejaVu Sans"/>
        </w:rPr>
        <w:t>GAME → DRILL → TOOL → HABIT</w:t>
      </w:r>
    </w:p>
    <w:p>
      <w:pPr/>
      <w:r>
        <w:rPr>
          <w:rFonts w:ascii="DejaVu Sans" w:hAnsi="DejaVu Sans" w:eastAsia="DejaVu Sans" w:cs="DejaVu Sans"/>
        </w:rPr>
        <w:t>Something that began as a classroom activity may start appearing without anyone announcing it.</w:t>
      </w:r>
    </w:p>
    <w:p>
      <w:pPr/>
      <w:r>
        <w:rPr>
          <w:rFonts w:ascii="DejaVu Sans" w:hAnsi="DejaVu Sans" w:eastAsia="DejaVu Sans" w:cs="DejaVu Sans"/>
        </w:rPr>
        <w:t>A student may use the routine somewhere else.</w:t>
      </w:r>
    </w:p>
    <w:p>
      <w:pPr/>
      <w:r>
        <w:rPr>
          <w:rFonts w:ascii="DejaVu Sans" w:hAnsi="DejaVu Sans" w:eastAsia="DejaVu Sans" w:cs="DejaVu Sans"/>
        </w:rPr>
        <w:t>You may use it somewhere else.</w:t>
      </w:r>
    </w:p>
    <w:p>
      <w:pPr/>
      <w:r>
        <w:rPr>
          <w:rFonts w:ascii="DejaVu Sans" w:hAnsi="DejaVu Sans" w:eastAsia="DejaVu Sans" w:cs="DejaVu Sans"/>
        </w:rPr>
        <w:t>Another lesson may borrow from it.</w:t>
      </w:r>
    </w:p>
    <w:p>
      <w:pPr/>
      <w:r>
        <w:rPr>
          <w:rFonts w:ascii="DejaVu Sans" w:hAnsi="DejaVu Sans" w:eastAsia="DejaVu Sans" w:cs="DejaVu Sans"/>
        </w:rPr>
        <w:t>Leave yourself breadcrumbs when those moments happen.</w:t>
      </w:r>
    </w:p>
    <w:p>
      <w:pPr>
        <w:pStyle w:val="Heading2"/>
      </w:pPr>
      <w:r>
        <w:rPr>
          <w:rFonts w:ascii="DejaVu Sans" w:hAnsi="DejaVu Sans" w:eastAsia="DejaVu Sans" w:cs="DejaVu Sans"/>
        </w:rPr>
        <w:t>USE THIS LOG OFTEN</w:t>
      </w:r>
    </w:p>
    <w:p>
      <w:pPr/>
      <w:r>
        <w:rPr>
          <w:rFonts w:ascii="DejaVu Sans" w:hAnsi="DejaVu Sans" w:eastAsia="DejaVu Sans" w:cs="DejaVu Sans"/>
        </w:rPr>
        <w:t>A written notebook is encouraged.</w:t>
      </w:r>
    </w:p>
    <w:p>
      <w:pPr/>
      <w:r>
        <w:rPr>
          <w:rFonts w:ascii="DejaVu Sans" w:hAnsi="DejaVu Sans" w:eastAsia="DejaVu Sans" w:cs="DejaVu Sans"/>
        </w:rPr>
        <w:t>Use any ordinary notebook. There is no special journal to buy.</w:t>
      </w:r>
    </w:p>
    <w:p>
      <w:pPr/>
      <w:r>
        <w:rPr>
          <w:rFonts w:ascii="DejaVu Sans" w:hAnsi="DejaVu Sans" w:eastAsia="DejaVu Sans" w:cs="DejaVu Sans"/>
        </w:rPr>
        <w:t>Writing by hand gives you another way to see, touch, slow down, and examine your thinking.</w:t>
      </w:r>
    </w:p>
    <w:p>
      <w:pPr/>
      <w:r>
        <w:rPr>
          <w:rFonts w:ascii="DejaVu Sans" w:hAnsi="DejaVu Sans" w:eastAsia="DejaVu Sans" w:cs="DejaVu Sans"/>
        </w:rPr>
        <w:t>But the form can change.</w:t>
      </w:r>
    </w:p>
    <w:p>
      <w:pPr>
        <w:pStyle w:val="TeacherLogOptions"/>
      </w:pPr>
      <w:r>
        <w:rPr>
          <w:rFonts w:ascii="DejaVu Sans" w:hAnsi="DejaVu Sans" w:eastAsia="DejaVu Sans" w:cs="DejaVu Sans"/>
        </w:rPr>
        <w:t>Write.  ·  Type.  ·  Speak a note into your phone.  ·  Sketch.  ·  Use a quick note card.</w:t>
      </w:r>
    </w:p>
    <w:p>
      <w:pPr/>
      <w:r>
        <w:rPr>
          <w:rFonts w:ascii="DejaVu Sans" w:hAnsi="DejaVu Sans" w:eastAsia="DejaVu Sans" w:cs="DejaVu Sans"/>
        </w:rPr>
        <w:t>Use whatever genuinely helps you reflect and grow as a teacher.</w:t>
      </w:r>
    </w:p>
    <w:p>
      <w:pPr>
        <w:pStyle w:val="TeacherLogCallout"/>
      </w:pPr>
      <w:r>
        <w:rPr>
          <w:rFonts w:ascii="DejaVu Sans" w:hAnsi="DejaVu Sans" w:eastAsia="DejaVu Sans" w:cs="DejaVu Sans"/>
        </w:rPr>
        <w:t>Daily encouraged. Weekly expected. Meaningful over complete.</w:t>
      </w:r>
    </w:p>
    <w:p>
      <w:pPr/>
      <w:r>
        <w:rPr>
          <w:rFonts w:ascii="DejaVu Sans" w:hAnsi="DejaVu Sans" w:eastAsia="DejaVu Sans" w:cs="DejaVu Sans"/>
        </w:rPr>
        <w:t>A sentence can count.</w:t>
      </w:r>
    </w:p>
    <w:p>
      <w:pPr/>
      <w:r>
        <w:rPr>
          <w:rFonts w:ascii="DejaVu Sans" w:hAnsi="DejaVu Sans" w:eastAsia="DejaVu Sans" w:cs="DejaVu Sans"/>
        </w:rPr>
        <w:t>A page can count.</w:t>
      </w:r>
    </w:p>
    <w:p>
      <w:pPr/>
      <w:r>
        <w:rPr>
          <w:rFonts w:ascii="DejaVu Sans" w:hAnsi="DejaVu Sans" w:eastAsia="DejaVu Sans" w:cs="DejaVu Sans"/>
        </w:rPr>
        <w:t>Nothing can count when there is genuinely nothing you need to record.</w:t>
      </w:r>
    </w:p>
    <w:p>
      <w:pPr>
        <w:pStyle w:val="Heading2"/>
      </w:pPr>
      <w:r>
        <w:rPr>
          <w:rFonts w:ascii="DejaVu Sans" w:hAnsi="DejaVu Sans" w:eastAsia="DejaVu Sans" w:cs="DejaVu Sans"/>
        </w:rPr>
        <w:t>THESE ARE HANDLES, NOT BOXES</w:t>
      </w:r>
    </w:p>
    <w:p>
      <w:pPr/>
      <w:r>
        <w:rPr>
          <w:rFonts w:ascii="DejaVu Sans" w:hAnsi="DejaVu Sans" w:eastAsia="DejaVu Sans" w:cs="DejaVu Sans"/>
        </w:rPr>
        <w:t>You do not need to answer every question.</w:t>
      </w:r>
    </w:p>
    <w:p>
      <w:pPr/>
      <w:r>
        <w:rPr>
          <w:rFonts w:ascii="DejaVu Sans" w:hAnsi="DejaVu Sans" w:eastAsia="DejaVu Sans" w:cs="DejaVu Sans"/>
        </w:rPr>
        <w:t>There is no correct journal entry.</w:t>
      </w:r>
    </w:p>
    <w:p>
      <w:pPr/>
      <w:r>
        <w:rPr>
          <w:rFonts w:ascii="DejaVu Sans" w:hAnsi="DejaVu Sans" w:eastAsia="DejaVu Sans" w:cs="DejaVu Sans"/>
        </w:rPr>
        <w:t>There is no required length.</w:t>
      </w:r>
    </w:p>
    <w:p>
      <w:pPr/>
      <w:r>
        <w:rPr>
          <w:rFonts w:ascii="DejaVu Sans" w:hAnsi="DejaVu Sans" w:eastAsia="DejaVu Sans" w:cs="DejaVu Sans"/>
        </w:rPr>
        <w:t>You are not proving that the lesson succeeded.</w:t>
      </w:r>
    </w:p>
    <w:p>
      <w:pPr/>
      <w:r>
        <w:rPr>
          <w:rFonts w:ascii="DejaVu Sans" w:hAnsi="DejaVu Sans" w:eastAsia="DejaVu Sans" w:cs="DejaVu Sans"/>
        </w:rPr>
        <w:t>You are not collecting evidence against yourself.</w:t>
      </w:r>
    </w:p>
    <w:p>
      <w:pPr/>
      <w:r>
        <w:rPr>
          <w:rFonts w:ascii="DejaVu Sans" w:hAnsi="DejaVu Sans" w:eastAsia="DejaVu Sans" w:cs="DejaVu Sans"/>
        </w:rPr>
        <w:t>This is a place to: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notice your teaching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recognize your successes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express your questions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capture your ideas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understand your classroom</w:t>
      </w:r>
    </w:p>
    <w:p>
      <w:pPr>
        <w:pStyle w:val="TeacherLogPrompt"/>
        <w:numPr>
          <w:ilvl w:val="0"/>
          <w:numId w:val="10"/>
        </w:numPr>
      </w:pPr>
      <w:r>
        <w:rPr>
          <w:rFonts w:ascii="DejaVu Sans" w:hAnsi="DejaVu Sans" w:eastAsia="DejaVu Sans" w:cs="DejaVu Sans"/>
        </w:rPr>
        <w:t>and become more deliberate about what you already know how to do.</w:t>
      </w:r>
    </w:p>
    <w:p>
      <w:pPr>
        <w:pStyle w:val="TeacherLogCallout"/>
      </w:pPr>
      <w:r>
        <w:rPr>
          <w:rFonts w:ascii="DejaVu Sans" w:hAnsi="DejaVu Sans" w:eastAsia="DejaVu Sans" w:cs="DejaVu Sans"/>
        </w:rPr>
        <w:t>The notebook serves the teacher.</w:t>
      </w:r>
    </w:p>
    <w:p>
      <w:pPr>
        <w:pStyle w:val="TeacherLogCallout"/>
      </w:pPr>
      <w:r>
        <w:rPr>
          <w:rFonts w:ascii="DejaVu Sans" w:hAnsi="DejaVu Sans" w:eastAsia="DejaVu Sans" w:cs="DejaVu Sans"/>
        </w:rPr>
        <w:t>The teacher does not serve the notebook.</w:t>
      </w:r>
    </w:p>
    <w:p>
      <w:pPr/>
      <w:r>
        <w:rPr>
          <w:rFonts w:ascii="DejaVu Sans" w:hAnsi="DejaVu Sans" w:eastAsia="DejaVu Sans" w:cs="DejaVu Sans"/>
        </w:rPr>
        <w:t>And someday you may open your journal without looking at this sheet at all.</w:t>
      </w:r>
    </w:p>
    <w:p>
      <w:pPr>
        <w:pStyle w:val="TeacherLogCallout"/>
      </w:pPr>
      <w:r>
        <w:rPr>
          <w:rFonts w:ascii="DejaVu Sans" w:hAnsi="DejaVu Sans" w:eastAsia="DejaVu Sans" w:cs="DejaVu Sans"/>
        </w:rPr>
        <w:t>Good.</w:t>
      </w:r>
    </w:p>
    <w:sectPr w:rsidR="00FC693F" w:rsidRPr="0006063C" w:rsidSect="00034616">
      <w:type w:val="continuous"/>
      <w:pgSz w:w="12240" w:h="15840"/>
      <w:pgMar w:top="605" w:right="662" w:bottom="576" w:left="662" w:header="259" w:footer="259" w:gutter="0"/>
      <w:cols w:space="390" w:num="2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275"/>
        </w:tabs>
        <w:ind w:left="275" w:hanging="145"/>
      </w:pPr>
      <w:rPr>
        <w:rFonts w:ascii="DejaVu Sans" w:hAnsi="DejaVu Sans"/>
        <w:color w:val="986341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before="0" w:after="27" w:line="276" w:lineRule="auto"/>
    </w:pPr>
    <w:rPr>
      <w:rFonts w:ascii="DejaVu Sans" w:hAnsi="DejaVu Sans" w:eastAsia="DejaVu Sans" w:cs="DejaVu Sans"/>
      <w:b w:val="0"/>
      <w:color w:val="26302D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0" w:after="38" w:line="254" w:lineRule="auto"/>
      <w:outlineLvl w:val="0"/>
    </w:pPr>
    <w:rPr>
      <w:rFonts w:asciiTheme="majorHAnsi" w:eastAsiaTheme="majorEastAsia" w:hAnsiTheme="majorHAnsi" w:cstheme="majorBidi" w:ascii="DejaVu Sans" w:hAnsi="DejaVu Sans" w:eastAsia="DejaVu Sans" w:cs="DejaVu Sans"/>
      <w:b/>
      <w:bCs/>
      <w:color w:val="17352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0" w:after="38" w:line="254" w:lineRule="auto"/>
      <w:outlineLvl w:val="1"/>
    </w:pPr>
    <w:rPr>
      <w:rFonts w:asciiTheme="majorHAnsi" w:eastAsiaTheme="majorEastAsia" w:hAnsiTheme="majorHAnsi" w:cstheme="majorBidi" w:ascii="DejaVu Sans" w:hAnsi="DejaVu Sans" w:eastAsia="DejaVu Sans" w:cs="DejaVu Sans"/>
      <w:b/>
      <w:bCs/>
      <w:color w:val="17352F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10" w:after="38" w:line="254" w:lineRule="auto"/>
      <w:outlineLvl w:val="2"/>
    </w:pPr>
    <w:rPr>
      <w:rFonts w:asciiTheme="majorHAnsi" w:eastAsiaTheme="majorEastAsia" w:hAnsiTheme="majorHAnsi" w:cstheme="majorBidi" w:ascii="DejaVu Sans" w:hAnsi="DejaVu Sans" w:eastAsia="DejaVu Sans" w:cs="DejaVu Sans"/>
      <w:b/>
      <w:bCs/>
      <w:color w:val="17352F"/>
      <w:sz w:val="1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  <w:jc w:val="center"/>
    </w:pPr>
    <w:rPr>
      <w:rFonts w:asciiTheme="majorHAnsi" w:eastAsiaTheme="majorEastAsia" w:hAnsiTheme="majorHAnsi" w:cstheme="majorBidi" w:ascii="DejaVu Serif" w:hAnsi="DejaVu Serif" w:eastAsia="DejaVu Serif" w:cs="DejaVu Serif"/>
      <w:b/>
      <w:color w:val="17352F"/>
      <w:spacing w:val="5"/>
      <w:kern w:val="28"/>
      <w:sz w:val="4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 w:line="252" w:lineRule="auto"/>
      <w:jc w:val="center"/>
    </w:pPr>
    <w:rPr>
      <w:rFonts w:asciiTheme="majorHAnsi" w:eastAsiaTheme="majorEastAsia" w:hAnsiTheme="majorHAnsi" w:cstheme="majorBidi" w:ascii="DejaVu Sans" w:hAnsi="DejaVu Sans" w:eastAsia="DejaVu Sans" w:cs="DejaVu Sans"/>
      <w:b w:val="0"/>
      <w:i w:val="0"/>
      <w:iCs/>
      <w:color w:val="666F68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acherLogEyebrow">
    <w:name w:val="Teacher Log Eyebrow"/>
    <w:basedOn w:val="Normal"/>
    <w:pPr>
      <w:spacing w:after="36"/>
      <w:jc w:val="center"/>
    </w:pPr>
    <w:rPr>
      <w:rFonts w:ascii="DejaVu Sans" w:hAnsi="DejaVu Sans" w:eastAsia="DejaVu Sans" w:cs="DejaVu Sans"/>
      <w:b/>
      <w:color w:val="986341"/>
      <w:sz w:val="14"/>
    </w:rPr>
  </w:style>
  <w:style w:type="paragraph" w:customStyle="1" w:styleId="TeacherLogIntroduction">
    <w:name w:val="Teacher Log Introduction"/>
    <w:basedOn w:val="Normal"/>
    <w:pPr>
      <w:spacing w:after="27" w:line="264" w:lineRule="auto"/>
    </w:pPr>
    <w:rPr>
      <w:rFonts w:ascii="DejaVu Sans" w:hAnsi="DejaVu Sans" w:eastAsia="DejaVu Sans" w:cs="DejaVu Sans"/>
      <w:b w:val="0"/>
      <w:color w:val="26302D"/>
      <w:sz w:val="17"/>
    </w:rPr>
  </w:style>
  <w:style w:type="paragraph" w:customStyle="1" w:styleId="TeacherLogPrompt">
    <w:name w:val="Teacher Log Prompt"/>
    <w:basedOn w:val="Normal"/>
    <w:pPr>
      <w:widowControl w:val="0"/>
      <w:spacing w:before="0" w:after="13" w:line="276" w:lineRule="auto"/>
    </w:pPr>
    <w:rPr>
      <w:rFonts w:ascii="DejaVu Sans" w:hAnsi="DejaVu Sans" w:eastAsia="DejaVu Sans" w:cs="DejaVu Sans"/>
      <w:b/>
      <w:color w:val="17352F"/>
      <w:sz w:val="16"/>
    </w:rPr>
  </w:style>
  <w:style w:type="paragraph" w:customStyle="1" w:styleId="TeacherLogCallout">
    <w:name w:val="Teacher Log Callout"/>
    <w:basedOn w:val="Normal"/>
    <w:pPr>
      <w:keepLines/>
      <w:spacing w:before="22" w:after="30" w:line="259" w:lineRule="auto"/>
    </w:pPr>
    <w:rPr>
      <w:rFonts w:ascii="DejaVu Sans" w:hAnsi="DejaVu Sans" w:eastAsia="DejaVu Sans" w:cs="DejaVu Sans"/>
      <w:b/>
      <w:color w:val="17352F"/>
      <w:sz w:val="16"/>
    </w:rPr>
  </w:style>
  <w:style w:type="paragraph" w:customStyle="1" w:styleId="TeacherLogAnchor">
    <w:name w:val="Teacher Log Anchor"/>
    <w:basedOn w:val="TeacherLogCallout"/>
    <w:pPr>
      <w:spacing w:before="64" w:after="64" w:line="269" w:lineRule="auto"/>
      <w:jc w:val="center"/>
    </w:pPr>
    <w:rPr>
      <w:rFonts w:ascii="DejaVu Serif" w:hAnsi="DejaVu Serif" w:eastAsia="DejaVu Serif" w:cs="DejaVu Serif"/>
      <w:b/>
      <w:color w:val="17352F"/>
      <w:sz w:val="20"/>
    </w:rPr>
  </w:style>
  <w:style w:type="paragraph" w:customStyle="1" w:styleId="TeacherLogOptions">
    <w:name w:val="Teacher Log Options"/>
    <w:basedOn w:val="Normal"/>
    <w:pPr>
      <w:spacing w:before="20" w:after="30" w:line="259" w:lineRule="auto"/>
    </w:pPr>
    <w:rPr>
      <w:rFonts w:ascii="DejaVu Sans" w:hAnsi="DejaVu Sans" w:eastAsia="DejaVu Sans" w:cs="DejaVu Sans"/>
      <w:b/>
      <w:color w:val="617052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TEACHER’S LOG — A Reference for Your Journal</dc:title>
  <dc:subject>The Building Blocks of Language teacher-journal reference</dc:subject>
  <dc:creator>Prestigious Owlet Academy</dc:creator>
  <cp:keywords/>
  <dc:description>Editable teacher-facing reference sheet.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